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4D" w:rsidRPr="0089526D" w:rsidRDefault="0089526D" w:rsidP="0089526D">
      <w:pPr>
        <w:spacing w:after="0"/>
        <w:jc w:val="center"/>
        <w:rPr>
          <w:b/>
        </w:rPr>
      </w:pPr>
      <w:bookmarkStart w:id="0" w:name="_Hlk503973326"/>
      <w:r w:rsidRPr="0089526D">
        <w:rPr>
          <w:b/>
        </w:rPr>
        <w:t xml:space="preserve">TENDER </w:t>
      </w:r>
      <w:proofErr w:type="spellStart"/>
      <w:r w:rsidRPr="0089526D">
        <w:rPr>
          <w:b/>
        </w:rPr>
        <w:t>PENJUALAN</w:t>
      </w:r>
      <w:proofErr w:type="spellEnd"/>
      <w:r w:rsidRPr="0089526D">
        <w:rPr>
          <w:b/>
        </w:rPr>
        <w:t xml:space="preserve"> </w:t>
      </w:r>
      <w:proofErr w:type="spellStart"/>
      <w:r w:rsidRPr="0089526D">
        <w:rPr>
          <w:b/>
        </w:rPr>
        <w:t>KENDERAAN</w:t>
      </w:r>
      <w:proofErr w:type="spellEnd"/>
      <w:r w:rsidRPr="0089526D">
        <w:rPr>
          <w:b/>
        </w:rPr>
        <w:t xml:space="preserve"> SYARIKAT</w:t>
      </w:r>
      <w:r w:rsidR="00D81266">
        <w:rPr>
          <w:b/>
        </w:rPr>
        <w:t xml:space="preserve"> </w:t>
      </w:r>
      <w:proofErr w:type="spellStart"/>
      <w:r w:rsidR="00D81266">
        <w:rPr>
          <w:b/>
        </w:rPr>
        <w:t>Bil</w:t>
      </w:r>
      <w:proofErr w:type="spellEnd"/>
      <w:r w:rsidR="00D81266">
        <w:rPr>
          <w:b/>
        </w:rPr>
        <w:t xml:space="preserve"> 01/2018</w:t>
      </w:r>
    </w:p>
    <w:bookmarkEnd w:id="0"/>
    <w:p w:rsidR="0089526D" w:rsidRDefault="0089526D" w:rsidP="0089526D">
      <w:pPr>
        <w:spacing w:after="0"/>
        <w:jc w:val="center"/>
        <w:rPr>
          <w:b/>
        </w:rPr>
      </w:pPr>
      <w:proofErr w:type="spellStart"/>
      <w:r w:rsidRPr="0089526D">
        <w:rPr>
          <w:b/>
        </w:rPr>
        <w:t>SINERGI</w:t>
      </w:r>
      <w:proofErr w:type="spellEnd"/>
      <w:r w:rsidRPr="0089526D">
        <w:rPr>
          <w:b/>
        </w:rPr>
        <w:t xml:space="preserve"> PERDANA MARKETING </w:t>
      </w:r>
      <w:proofErr w:type="spellStart"/>
      <w:r w:rsidRPr="0089526D">
        <w:rPr>
          <w:b/>
        </w:rPr>
        <w:t>SDN</w:t>
      </w:r>
      <w:proofErr w:type="spellEnd"/>
      <w:r w:rsidRPr="0089526D">
        <w:rPr>
          <w:b/>
        </w:rPr>
        <w:t xml:space="preserve"> BHD</w:t>
      </w:r>
      <w:r w:rsidR="006C3314">
        <w:rPr>
          <w:b/>
        </w:rPr>
        <w:t xml:space="preserve"> (SP Marketing)</w:t>
      </w:r>
    </w:p>
    <w:p w:rsidR="0045225D" w:rsidRDefault="0045225D" w:rsidP="0089526D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77"/>
        <w:gridCol w:w="5739"/>
      </w:tblGrid>
      <w:tr w:rsidR="0045225D" w:rsidTr="00C843A1">
        <w:tc>
          <w:tcPr>
            <w:tcW w:w="3000" w:type="dxa"/>
          </w:tcPr>
          <w:p w:rsidR="0045225D" w:rsidRDefault="0045225D" w:rsidP="00C843A1">
            <w:pPr>
              <w:rPr>
                <w:b/>
              </w:rPr>
            </w:pPr>
            <w:bookmarkStart w:id="1" w:name="_Hlk503973888"/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Penuh</w:t>
            </w:r>
            <w:proofErr w:type="spellEnd"/>
            <w:r>
              <w:rPr>
                <w:b/>
              </w:rPr>
              <w:t xml:space="preserve"> Syarikat </w:t>
            </w:r>
          </w:p>
        </w:tc>
        <w:tc>
          <w:tcPr>
            <w:tcW w:w="277" w:type="dxa"/>
          </w:tcPr>
          <w:p w:rsidR="0045225D" w:rsidRDefault="0045225D" w:rsidP="00C843A1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739" w:type="dxa"/>
          </w:tcPr>
          <w:p w:rsidR="0045225D" w:rsidRPr="0045225D" w:rsidRDefault="0045225D" w:rsidP="00C843A1">
            <w:proofErr w:type="spellStart"/>
            <w:r w:rsidRPr="0045225D">
              <w:t>Sinergi</w:t>
            </w:r>
            <w:proofErr w:type="spellEnd"/>
            <w:r w:rsidRPr="0045225D">
              <w:t xml:space="preserve"> Perdana Marketing </w:t>
            </w:r>
            <w:proofErr w:type="spellStart"/>
            <w:r w:rsidRPr="0045225D">
              <w:t>Sdn</w:t>
            </w:r>
            <w:proofErr w:type="spellEnd"/>
            <w:r w:rsidRPr="0045225D">
              <w:t xml:space="preserve"> </w:t>
            </w:r>
            <w:proofErr w:type="spellStart"/>
            <w:r w:rsidRPr="0045225D">
              <w:t>Bhd</w:t>
            </w:r>
            <w:proofErr w:type="spellEnd"/>
          </w:p>
        </w:tc>
      </w:tr>
      <w:tr w:rsidR="0045225D" w:rsidTr="00C843A1">
        <w:tc>
          <w:tcPr>
            <w:tcW w:w="3000" w:type="dxa"/>
          </w:tcPr>
          <w:p w:rsidR="0045225D" w:rsidRDefault="0045225D" w:rsidP="00C843A1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proofErr w:type="spellStart"/>
            <w:r>
              <w:rPr>
                <w:b/>
              </w:rPr>
              <w:t>Pendaftaran</w:t>
            </w:r>
            <w:proofErr w:type="spellEnd"/>
            <w:r>
              <w:rPr>
                <w:b/>
              </w:rPr>
              <w:t xml:space="preserve"> Syarikat </w:t>
            </w:r>
          </w:p>
        </w:tc>
        <w:tc>
          <w:tcPr>
            <w:tcW w:w="277" w:type="dxa"/>
          </w:tcPr>
          <w:p w:rsidR="0045225D" w:rsidRDefault="0045225D" w:rsidP="00C843A1">
            <w:r w:rsidRPr="0006575C">
              <w:rPr>
                <w:b/>
              </w:rPr>
              <w:t>:</w:t>
            </w:r>
          </w:p>
        </w:tc>
        <w:tc>
          <w:tcPr>
            <w:tcW w:w="5739" w:type="dxa"/>
          </w:tcPr>
          <w:p w:rsidR="0045225D" w:rsidRPr="0045225D" w:rsidRDefault="0045225D" w:rsidP="00C843A1">
            <w:r>
              <w:t>763571-P</w:t>
            </w:r>
          </w:p>
        </w:tc>
      </w:tr>
      <w:tr w:rsidR="0045225D" w:rsidTr="00C843A1">
        <w:tc>
          <w:tcPr>
            <w:tcW w:w="3000" w:type="dxa"/>
          </w:tcPr>
          <w:p w:rsidR="0045225D" w:rsidRDefault="0045225D" w:rsidP="00C843A1">
            <w:pPr>
              <w:rPr>
                <w:b/>
              </w:rPr>
            </w:pPr>
            <w:proofErr w:type="spellStart"/>
            <w:r>
              <w:rPr>
                <w:b/>
              </w:rPr>
              <w:t>Alamat</w:t>
            </w:r>
            <w:proofErr w:type="spellEnd"/>
            <w:r>
              <w:rPr>
                <w:b/>
              </w:rPr>
              <w:t xml:space="preserve"> Syarikat</w:t>
            </w:r>
          </w:p>
        </w:tc>
        <w:tc>
          <w:tcPr>
            <w:tcW w:w="277" w:type="dxa"/>
          </w:tcPr>
          <w:p w:rsidR="0045225D" w:rsidRDefault="0045225D" w:rsidP="00C843A1">
            <w:r w:rsidRPr="0006575C">
              <w:rPr>
                <w:b/>
              </w:rPr>
              <w:t>:</w:t>
            </w:r>
          </w:p>
        </w:tc>
        <w:tc>
          <w:tcPr>
            <w:tcW w:w="5739" w:type="dxa"/>
          </w:tcPr>
          <w:p w:rsidR="0045225D" w:rsidRPr="0045225D" w:rsidRDefault="0045225D" w:rsidP="00C843A1">
            <w:r>
              <w:t xml:space="preserve">A-6-1, </w:t>
            </w:r>
            <w:r w:rsidR="006C3314">
              <w:t>A</w:t>
            </w:r>
            <w:r>
              <w:t xml:space="preserve">ras 6, Blok A, Mines Waterfront Business Park, No. 3,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Tasik</w:t>
            </w:r>
            <w:proofErr w:type="spellEnd"/>
            <w:r>
              <w:t>, The Mines Resort City, 43300, Seri Kembangan, Selangor.</w:t>
            </w:r>
          </w:p>
        </w:tc>
      </w:tr>
      <w:tr w:rsidR="0045225D" w:rsidTr="00C843A1">
        <w:tc>
          <w:tcPr>
            <w:tcW w:w="3000" w:type="dxa"/>
          </w:tcPr>
          <w:p w:rsidR="0045225D" w:rsidRDefault="0045225D" w:rsidP="00C843A1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/ Fax</w:t>
            </w:r>
          </w:p>
        </w:tc>
        <w:tc>
          <w:tcPr>
            <w:tcW w:w="277" w:type="dxa"/>
          </w:tcPr>
          <w:p w:rsidR="0045225D" w:rsidRDefault="0045225D" w:rsidP="00C843A1">
            <w:r w:rsidRPr="0006575C">
              <w:rPr>
                <w:b/>
              </w:rPr>
              <w:t>:</w:t>
            </w:r>
          </w:p>
        </w:tc>
        <w:tc>
          <w:tcPr>
            <w:tcW w:w="5739" w:type="dxa"/>
          </w:tcPr>
          <w:p w:rsidR="0045225D" w:rsidRPr="0045225D" w:rsidRDefault="0045225D" w:rsidP="00C843A1">
            <w:r>
              <w:t>03-89427901 / 03-89427904</w:t>
            </w:r>
          </w:p>
        </w:tc>
      </w:tr>
      <w:bookmarkEnd w:id="1"/>
    </w:tbl>
    <w:p w:rsidR="0089526D" w:rsidRDefault="0089526D" w:rsidP="0089526D">
      <w:pPr>
        <w:spacing w:after="0"/>
        <w:jc w:val="center"/>
        <w:rPr>
          <w:b/>
        </w:rPr>
      </w:pPr>
    </w:p>
    <w:p w:rsidR="0045225D" w:rsidRDefault="0045225D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Tawaran</w:t>
      </w:r>
      <w:proofErr w:type="spellEnd"/>
      <w:r>
        <w:t xml:space="preserve"> tender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syarikat-syarikat</w:t>
      </w:r>
      <w:proofErr w:type="spellEnd"/>
      <w:r>
        <w:t xml:space="preserve"> /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kakitangan</w:t>
      </w:r>
      <w:proofErr w:type="spellEnd"/>
      <w:r>
        <w:t xml:space="preserve"> Syarikat.</w:t>
      </w:r>
    </w:p>
    <w:p w:rsidR="0045225D" w:rsidRDefault="0045225D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Tawaran</w:t>
      </w:r>
      <w:proofErr w:type="spellEnd"/>
      <w:r>
        <w:t xml:space="preserve"> tender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45225D">
        <w:rPr>
          <w:b/>
        </w:rPr>
        <w:t>Borang</w:t>
      </w:r>
      <w:proofErr w:type="spellEnd"/>
      <w:r w:rsidRPr="0045225D">
        <w:rPr>
          <w:b/>
        </w:rPr>
        <w:t xml:space="preserve"> </w:t>
      </w:r>
      <w:proofErr w:type="spellStart"/>
      <w:r w:rsidRPr="0045225D">
        <w:rPr>
          <w:b/>
        </w:rPr>
        <w:t>Tawaran</w:t>
      </w:r>
      <w:proofErr w:type="spellEnd"/>
      <w:r w:rsidRPr="0045225D">
        <w:rPr>
          <w:b/>
        </w:rPr>
        <w:t xml:space="preserve"> Tender</w:t>
      </w:r>
      <w:r>
        <w:t xml:space="preserve"> yang </w:t>
      </w:r>
      <w:proofErr w:type="spellStart"/>
      <w:r>
        <w:t>disediakan</w:t>
      </w:r>
      <w:proofErr w:type="spellEnd"/>
      <w:r>
        <w:t>.</w:t>
      </w:r>
    </w:p>
    <w:p w:rsidR="006C3314" w:rsidRDefault="006C3314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menghantar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(1)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(1) unit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>.</w:t>
      </w:r>
    </w:p>
    <w:p w:rsidR="006C3314" w:rsidRDefault="006C3314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Satu (1) </w:t>
      </w:r>
      <w:proofErr w:type="spellStart"/>
      <w:r>
        <w:t>borang</w:t>
      </w:r>
      <w:proofErr w:type="spellEnd"/>
      <w:r>
        <w:t xml:space="preserve"> tender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membida</w:t>
      </w:r>
      <w:proofErr w:type="spellEnd"/>
      <w:r>
        <w:t xml:space="preserve"> </w:t>
      </w:r>
      <w:proofErr w:type="spellStart"/>
      <w:r>
        <w:t>kedua-dua</w:t>
      </w:r>
      <w:proofErr w:type="spellEnd"/>
      <w:r>
        <w:t xml:space="preserve"> unit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:rsidR="00C27EA2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Harga</w:t>
      </w:r>
      <w:proofErr w:type="spellEnd"/>
      <w:r>
        <w:t xml:space="preserve"> minimum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>-</w:t>
      </w:r>
    </w:p>
    <w:p w:rsidR="00C27EA2" w:rsidRPr="00C27EA2" w:rsidRDefault="00C27EA2" w:rsidP="008B01D0">
      <w:pPr>
        <w:pStyle w:val="ListParagraph"/>
        <w:spacing w:after="0" w:line="360" w:lineRule="auto"/>
        <w:ind w:left="142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16"/>
        <w:gridCol w:w="1904"/>
        <w:gridCol w:w="1763"/>
        <w:gridCol w:w="1871"/>
      </w:tblGrid>
      <w:tr w:rsidR="0045225D" w:rsidTr="006C3314">
        <w:tc>
          <w:tcPr>
            <w:tcW w:w="562" w:type="dxa"/>
            <w:shd w:val="clear" w:color="auto" w:fill="F2F2F2" w:themeFill="background1" w:themeFillShade="F2"/>
          </w:tcPr>
          <w:p w:rsidR="006C3314" w:rsidRPr="006C3314" w:rsidRDefault="006C3314" w:rsidP="00F344AE">
            <w:pPr>
              <w:spacing w:line="360" w:lineRule="auto"/>
              <w:rPr>
                <w:rFonts w:cstheme="minorHAnsi"/>
                <w:b/>
              </w:rPr>
            </w:pPr>
            <w:bookmarkStart w:id="2" w:name="_Hlk503973610"/>
            <w:proofErr w:type="spellStart"/>
            <w:r w:rsidRPr="006C3314">
              <w:rPr>
                <w:rFonts w:cstheme="minorHAnsi"/>
                <w:b/>
              </w:rPr>
              <w:t>Bil</w:t>
            </w:r>
            <w:proofErr w:type="spellEnd"/>
          </w:p>
        </w:tc>
        <w:tc>
          <w:tcPr>
            <w:tcW w:w="2916" w:type="dxa"/>
            <w:shd w:val="clear" w:color="auto" w:fill="F2F2F2" w:themeFill="background1" w:themeFillShade="F2"/>
          </w:tcPr>
          <w:p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r w:rsidRPr="006C3314">
              <w:rPr>
                <w:rFonts w:cstheme="minorHAnsi"/>
                <w:b/>
              </w:rPr>
              <w:t xml:space="preserve">Model </w:t>
            </w:r>
            <w:proofErr w:type="spellStart"/>
            <w:r w:rsidRPr="006C3314">
              <w:rPr>
                <w:rFonts w:cstheme="minorHAnsi"/>
                <w:b/>
              </w:rPr>
              <w:t>Kenderaan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r w:rsidRPr="006C3314">
              <w:rPr>
                <w:rFonts w:cstheme="minorHAnsi"/>
                <w:b/>
              </w:rPr>
              <w:t xml:space="preserve">No </w:t>
            </w:r>
            <w:proofErr w:type="spellStart"/>
            <w:r w:rsidRPr="006C3314">
              <w:rPr>
                <w:rFonts w:cstheme="minorHAnsi"/>
                <w:b/>
              </w:rPr>
              <w:t>Kenderaan</w:t>
            </w:r>
            <w:proofErr w:type="spellEnd"/>
          </w:p>
        </w:tc>
        <w:tc>
          <w:tcPr>
            <w:tcW w:w="1763" w:type="dxa"/>
            <w:shd w:val="clear" w:color="auto" w:fill="F2F2F2" w:themeFill="background1" w:themeFillShade="F2"/>
          </w:tcPr>
          <w:p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6C3314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1871" w:type="dxa"/>
            <w:shd w:val="clear" w:color="auto" w:fill="F2F2F2" w:themeFill="background1" w:themeFillShade="F2"/>
          </w:tcPr>
          <w:p w:rsidR="0045225D" w:rsidRPr="006C3314" w:rsidRDefault="0045225D" w:rsidP="00F344AE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6C3314">
              <w:rPr>
                <w:rFonts w:cstheme="minorHAnsi"/>
                <w:b/>
              </w:rPr>
              <w:t>Harga</w:t>
            </w:r>
            <w:proofErr w:type="spellEnd"/>
            <w:r w:rsidRPr="006C3314">
              <w:rPr>
                <w:rFonts w:cstheme="minorHAnsi"/>
                <w:b/>
              </w:rPr>
              <w:t xml:space="preserve"> Minimum</w:t>
            </w:r>
          </w:p>
        </w:tc>
      </w:tr>
      <w:tr w:rsidR="0045225D" w:rsidTr="0045225D">
        <w:tc>
          <w:tcPr>
            <w:tcW w:w="562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1.</w:t>
            </w:r>
          </w:p>
        </w:tc>
        <w:tc>
          <w:tcPr>
            <w:tcW w:w="2916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 xml:space="preserve">Proton Perdana </w:t>
            </w:r>
            <w:proofErr w:type="spellStart"/>
            <w:r w:rsidRPr="006C3314">
              <w:rPr>
                <w:rFonts w:cstheme="minorHAnsi"/>
              </w:rPr>
              <w:t>V6</w:t>
            </w:r>
            <w:proofErr w:type="spellEnd"/>
          </w:p>
        </w:tc>
        <w:tc>
          <w:tcPr>
            <w:tcW w:w="1904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WSK5438</w:t>
            </w:r>
            <w:proofErr w:type="spellEnd"/>
          </w:p>
        </w:tc>
        <w:tc>
          <w:tcPr>
            <w:tcW w:w="1763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2009</w:t>
            </w:r>
          </w:p>
        </w:tc>
        <w:tc>
          <w:tcPr>
            <w:tcW w:w="1871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RM15,800.00</w:t>
            </w:r>
            <w:proofErr w:type="spellEnd"/>
          </w:p>
        </w:tc>
      </w:tr>
      <w:tr w:rsidR="0045225D" w:rsidTr="0045225D">
        <w:tc>
          <w:tcPr>
            <w:tcW w:w="562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2.</w:t>
            </w:r>
          </w:p>
        </w:tc>
        <w:tc>
          <w:tcPr>
            <w:tcW w:w="2916" w:type="dxa"/>
          </w:tcPr>
          <w:p w:rsidR="0045225D" w:rsidRPr="006C3314" w:rsidRDefault="0045225D" w:rsidP="008B01D0">
            <w:pPr>
              <w:tabs>
                <w:tab w:val="left" w:pos="4320"/>
              </w:tabs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 xml:space="preserve">Mitsubishi Triton </w:t>
            </w:r>
          </w:p>
        </w:tc>
        <w:tc>
          <w:tcPr>
            <w:tcW w:w="1904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WTY5641</w:t>
            </w:r>
            <w:proofErr w:type="spellEnd"/>
          </w:p>
        </w:tc>
        <w:tc>
          <w:tcPr>
            <w:tcW w:w="1763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r w:rsidRPr="006C3314">
              <w:rPr>
                <w:rFonts w:cstheme="minorHAnsi"/>
              </w:rPr>
              <w:t>2010</w:t>
            </w:r>
          </w:p>
        </w:tc>
        <w:tc>
          <w:tcPr>
            <w:tcW w:w="1871" w:type="dxa"/>
          </w:tcPr>
          <w:p w:rsidR="0045225D" w:rsidRPr="006C3314" w:rsidRDefault="0045225D" w:rsidP="008B01D0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6C3314">
              <w:rPr>
                <w:rFonts w:cstheme="minorHAnsi"/>
              </w:rPr>
              <w:t>RM46,800.00</w:t>
            </w:r>
            <w:proofErr w:type="spellEnd"/>
          </w:p>
        </w:tc>
      </w:tr>
      <w:bookmarkEnd w:id="2"/>
    </w:tbl>
    <w:p w:rsidR="0045225D" w:rsidRDefault="0045225D" w:rsidP="008B01D0">
      <w:pPr>
        <w:spacing w:after="0" w:line="360" w:lineRule="auto"/>
        <w:jc w:val="both"/>
        <w:rPr>
          <w:b/>
        </w:rPr>
      </w:pPr>
    </w:p>
    <w:p w:rsidR="00C27EA2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 w:rsidRPr="00C27EA2">
        <w:t>Tempoh</w:t>
      </w:r>
      <w:proofErr w:type="spellEnd"/>
      <w:r w:rsidRPr="00C27EA2">
        <w:t xml:space="preserve"> </w:t>
      </w:r>
      <w:proofErr w:type="spellStart"/>
      <w:r w:rsidRPr="00C27EA2">
        <w:t>tawaran</w:t>
      </w:r>
      <w:proofErr w:type="spellEnd"/>
      <w:r w:rsidRPr="00C27EA2">
        <w:t xml:space="preserve"> tender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="003C467D" w:rsidRPr="003C467D">
        <w:t xml:space="preserve">26 </w:t>
      </w:r>
      <w:proofErr w:type="spellStart"/>
      <w:r w:rsidR="003C467D" w:rsidRPr="003C467D">
        <w:t>Februari</w:t>
      </w:r>
      <w:proofErr w:type="spellEnd"/>
      <w:r>
        <w:t xml:space="preserve"> 2018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jam 12.00 </w:t>
      </w:r>
      <w:proofErr w:type="spellStart"/>
      <w:r>
        <w:t>tengahari</w:t>
      </w:r>
      <w:proofErr w:type="spellEnd"/>
      <w:r>
        <w:t xml:space="preserve">, </w:t>
      </w:r>
      <w:r w:rsidR="003C467D" w:rsidRPr="003C467D">
        <w:t>09 Mac</w:t>
      </w:r>
      <w:r>
        <w:t xml:space="preserve"> 2018.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Money”</w:t>
      </w:r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10%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Bank </w:t>
      </w:r>
      <w:proofErr w:type="spellStart"/>
      <w:r w:rsidR="00D81266">
        <w:t>Deraf</w:t>
      </w:r>
      <w:proofErr w:type="spellEnd"/>
      <w:r w:rsidR="00D81266">
        <w:t xml:space="preserve"> </w:t>
      </w:r>
      <w:r>
        <w:t>(</w:t>
      </w:r>
      <w:r w:rsidRPr="006C3314">
        <w:rPr>
          <w:i/>
        </w:rPr>
        <w:t>Bank Draft</w:t>
      </w:r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Peribadi</w:t>
      </w:r>
      <w:proofErr w:type="spellEnd"/>
      <w:r>
        <w:t xml:space="preserve"> (</w:t>
      </w:r>
      <w:r w:rsidRPr="006C3314">
        <w:rPr>
          <w:i/>
        </w:rPr>
        <w:t>Personal Cheque</w:t>
      </w:r>
      <w:r>
        <w:t xml:space="preserve">)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 w:rsidR="006C3314" w:rsidRPr="006C3314">
        <w:rPr>
          <w:b/>
        </w:rPr>
        <w:t>SINERGI</w:t>
      </w:r>
      <w:proofErr w:type="spellEnd"/>
      <w:r w:rsidR="006C3314" w:rsidRPr="006C3314">
        <w:rPr>
          <w:b/>
        </w:rPr>
        <w:t xml:space="preserve"> PERDANA MARKETING </w:t>
      </w:r>
      <w:proofErr w:type="spellStart"/>
      <w:r w:rsidR="006C3314" w:rsidRPr="006C3314">
        <w:rPr>
          <w:b/>
        </w:rPr>
        <w:t>SDN</w:t>
      </w:r>
      <w:proofErr w:type="spellEnd"/>
      <w:r w:rsidR="006C3314" w:rsidRPr="006C3314">
        <w:rPr>
          <w:b/>
        </w:rPr>
        <w:t xml:space="preserve"> BHD</w:t>
      </w:r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dipulangkan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Tawaran</w:t>
      </w:r>
      <w:proofErr w:type="spellEnd"/>
      <w:r>
        <w:t xml:space="preserve"> tender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dibayar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kaedah</w:t>
      </w:r>
      <w:proofErr w:type="spellEnd"/>
      <w:r>
        <w:t>/</w:t>
      </w:r>
      <w:proofErr w:type="spellStart"/>
      <w:r>
        <w:t>bentuk</w:t>
      </w:r>
      <w:proofErr w:type="spellEnd"/>
      <w:r>
        <w:t>/</w:t>
      </w:r>
      <w:proofErr w:type="spellStart"/>
      <w:r>
        <w:t>cara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7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,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“</w:t>
      </w:r>
      <w:r w:rsidRPr="006C3314">
        <w:rPr>
          <w:i/>
        </w:rPr>
        <w:t>Cash Deposit Machine</w:t>
      </w:r>
      <w:r>
        <w:t xml:space="preserve">”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akaun</w:t>
      </w:r>
      <w:proofErr w:type="spellEnd"/>
      <w:r>
        <w:t xml:space="preserve"> bank</w:t>
      </w:r>
      <w:r w:rsidR="006C3314">
        <w:t xml:space="preserve"> Syarikat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terbatal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ditolak</w:t>
      </w:r>
      <w:proofErr w:type="spellEnd"/>
      <w:r>
        <w:t>.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Kenderaan-kenderaan</w:t>
      </w:r>
      <w:proofErr w:type="spellEnd"/>
      <w:r>
        <w:t xml:space="preserve"> yang </w:t>
      </w:r>
      <w:proofErr w:type="spellStart"/>
      <w:r>
        <w:t>ditender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/ </w:t>
      </w:r>
      <w:proofErr w:type="spellStart"/>
      <w:r>
        <w:t>ditender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keadaannya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(‘</w:t>
      </w:r>
      <w:r w:rsidRPr="006C3314">
        <w:rPr>
          <w:i/>
        </w:rPr>
        <w:t>As is where is basis’</w:t>
      </w:r>
      <w:r>
        <w:t xml:space="preserve">)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Wang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(60)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tender </w:t>
      </w:r>
      <w:proofErr w:type="spellStart"/>
      <w:r>
        <w:t>diumumkan</w:t>
      </w:r>
      <w:proofErr w:type="spellEnd"/>
      <w:r>
        <w:t xml:space="preserve"> yang mana </w:t>
      </w:r>
      <w:proofErr w:type="spellStart"/>
      <w:r>
        <w:t>awal</w:t>
      </w:r>
      <w:proofErr w:type="spellEnd"/>
      <w:r>
        <w:t>.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bertulis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</w:t>
      </w:r>
      <w:proofErr w:type="spellStart"/>
      <w:r>
        <w:t>daripda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r>
        <w:t xml:space="preserve">yang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Surat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Tender.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Surat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Tender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dijawab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dalam</w:t>
      </w:r>
      <w:proofErr w:type="spellEnd"/>
      <w:r>
        <w:t xml:space="preserve"> masa 7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>
        <w:t xml:space="preserve">Surat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hasrat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yang </w:t>
      </w:r>
      <w:proofErr w:type="spellStart"/>
      <w:r>
        <w:t>berikutnya</w:t>
      </w:r>
      <w:proofErr w:type="spellEnd"/>
      <w:r>
        <w:t xml:space="preserve">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tender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dimestikan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30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akuan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Draf</w:t>
      </w:r>
      <w:proofErr w:type="spellEnd"/>
      <w:r>
        <w:t xml:space="preserve"> Bank (</w:t>
      </w:r>
      <w:r w:rsidRPr="006C3314">
        <w:rPr>
          <w:i/>
        </w:rPr>
        <w:t>Bank Draft</w:t>
      </w:r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Peribadi</w:t>
      </w:r>
      <w:proofErr w:type="spellEnd"/>
      <w:r>
        <w:t xml:space="preserve"> (</w:t>
      </w:r>
      <w:r w:rsidRPr="006C3314">
        <w:rPr>
          <w:i/>
        </w:rPr>
        <w:t>Personal Cheque</w:t>
      </w:r>
      <w:r>
        <w:t xml:space="preserve">)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 w:rsidR="006C3314" w:rsidRPr="006C3314">
        <w:rPr>
          <w:b/>
        </w:rPr>
        <w:t>SINERGI</w:t>
      </w:r>
      <w:proofErr w:type="spellEnd"/>
      <w:r w:rsidR="006C3314" w:rsidRPr="006C3314">
        <w:rPr>
          <w:b/>
        </w:rPr>
        <w:t xml:space="preserve"> PERDANA MARKETING </w:t>
      </w:r>
      <w:proofErr w:type="spellStart"/>
      <w:r w:rsidR="006C3314" w:rsidRPr="006C3314">
        <w:rPr>
          <w:b/>
        </w:rPr>
        <w:t>SDN</w:t>
      </w:r>
      <w:proofErr w:type="spellEnd"/>
      <w:r w:rsidR="006C3314" w:rsidRPr="006C3314">
        <w:rPr>
          <w:b/>
        </w:rPr>
        <w:t xml:space="preserve"> BHD</w:t>
      </w:r>
      <w:r>
        <w:t xml:space="preserve">. </w:t>
      </w:r>
      <w:proofErr w:type="spellStart"/>
      <w:r>
        <w:t>Bayaran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Kegagalan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masa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terbatal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(“</w:t>
      </w:r>
      <w:r w:rsidRPr="006C3314">
        <w:rPr>
          <w:i/>
        </w:rPr>
        <w:t>Earnest Money</w:t>
      </w:r>
      <w:r>
        <w:t xml:space="preserve">”)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. </w:t>
      </w:r>
      <w:r w:rsidR="006C3314" w:rsidRPr="006C3314">
        <w:t>SP Marketing</w:t>
      </w:r>
      <w:r w:rsidR="006C3314"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yang </w:t>
      </w:r>
      <w:proofErr w:type="spellStart"/>
      <w:r>
        <w:t>berikutnya</w:t>
      </w:r>
      <w:proofErr w:type="spellEnd"/>
      <w:r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Pembida</w:t>
      </w:r>
      <w:proofErr w:type="spellEnd"/>
      <w:r>
        <w:t xml:space="preserve"> yang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6C3314" w:rsidRPr="006C3314">
        <w:t>SP Marketing</w:t>
      </w:r>
      <w:r w:rsidR="006C3314"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selepas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penukaran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yang </w:t>
      </w:r>
      <w:proofErr w:type="spellStart"/>
      <w:r>
        <w:t>membabitkan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pengdokumentasian</w:t>
      </w:r>
      <w:proofErr w:type="spellEnd"/>
      <w:r>
        <w:t xml:space="preserve">, </w:t>
      </w:r>
      <w:proofErr w:type="spellStart"/>
      <w:r>
        <w:t>perbelanjaan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,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penukaran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urusan-urusan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kos-kos</w:t>
      </w:r>
      <w:proofErr w:type="spellEnd"/>
      <w:r>
        <w:t xml:space="preserve"> lain yang </w:t>
      </w:r>
      <w:proofErr w:type="spellStart"/>
      <w:r>
        <w:t>terbabit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pembida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</w:p>
    <w:p w:rsidR="006C3314" w:rsidRDefault="006C3314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r w:rsidRPr="006C3314">
        <w:t>SP Marketing</w:t>
      </w:r>
      <w:r>
        <w:t xml:space="preserve"> </w:t>
      </w:r>
      <w:proofErr w:type="spellStart"/>
      <w:r w:rsidR="00C27EA2">
        <w:t>berhak</w:t>
      </w:r>
      <w:proofErr w:type="spellEnd"/>
      <w:r w:rsidR="00C27EA2">
        <w:t xml:space="preserve"> </w:t>
      </w:r>
      <w:proofErr w:type="spellStart"/>
      <w:r w:rsidR="00C27EA2">
        <w:t>untuk</w:t>
      </w:r>
      <w:proofErr w:type="spellEnd"/>
      <w:r w:rsidR="00C27EA2">
        <w:t xml:space="preserve"> </w:t>
      </w:r>
      <w:proofErr w:type="spellStart"/>
      <w:r w:rsidR="00C27EA2">
        <w:t>meminda</w:t>
      </w:r>
      <w:proofErr w:type="spellEnd"/>
      <w:r w:rsidR="00C27EA2">
        <w:t xml:space="preserve">, </w:t>
      </w:r>
      <w:proofErr w:type="spellStart"/>
      <w:r w:rsidR="00C27EA2">
        <w:t>menukar</w:t>
      </w:r>
      <w:proofErr w:type="spellEnd"/>
      <w:r w:rsidR="00C27EA2">
        <w:t xml:space="preserve">, </w:t>
      </w:r>
      <w:proofErr w:type="spellStart"/>
      <w:r w:rsidR="00C27EA2">
        <w:t>menambah</w:t>
      </w:r>
      <w:proofErr w:type="spellEnd"/>
      <w:r w:rsidR="00C27EA2">
        <w:t xml:space="preserve"> </w:t>
      </w:r>
      <w:proofErr w:type="spellStart"/>
      <w:r w:rsidR="00C27EA2">
        <w:t>serta</w:t>
      </w:r>
      <w:proofErr w:type="spellEnd"/>
      <w:r w:rsidR="00C27EA2">
        <w:t xml:space="preserve"> </w:t>
      </w:r>
      <w:proofErr w:type="spellStart"/>
      <w:r w:rsidR="00C27EA2">
        <w:t>membatalkan</w:t>
      </w:r>
      <w:proofErr w:type="spellEnd"/>
      <w:r w:rsidR="00C27EA2">
        <w:t xml:space="preserve"> </w:t>
      </w:r>
      <w:proofErr w:type="spellStart"/>
      <w:r w:rsidR="00C27EA2">
        <w:t>sebaran</w:t>
      </w:r>
      <w:proofErr w:type="spellEnd"/>
      <w:r w:rsidR="00C27EA2">
        <w:t xml:space="preserve"> </w:t>
      </w:r>
      <w:proofErr w:type="spellStart"/>
      <w:r w:rsidR="00C27EA2">
        <w:t>syarat-syarat</w:t>
      </w:r>
      <w:proofErr w:type="spellEnd"/>
      <w:r w:rsidR="00C27EA2">
        <w:t xml:space="preserve"> </w:t>
      </w:r>
      <w:proofErr w:type="spellStart"/>
      <w:r w:rsidR="00C27EA2">
        <w:t>dan</w:t>
      </w:r>
      <w:proofErr w:type="spellEnd"/>
      <w:r w:rsidR="00C27EA2">
        <w:t xml:space="preserve"> </w:t>
      </w:r>
      <w:proofErr w:type="spellStart"/>
      <w:r w:rsidR="00C27EA2">
        <w:t>keputusan</w:t>
      </w:r>
      <w:proofErr w:type="spellEnd"/>
      <w:r w:rsidR="00C27EA2">
        <w:t xml:space="preserve"> tender </w:t>
      </w:r>
      <w:proofErr w:type="spellStart"/>
      <w:r w:rsidR="00C27EA2">
        <w:t>ini</w:t>
      </w:r>
      <w:proofErr w:type="spellEnd"/>
      <w:r w:rsidR="00C27EA2">
        <w:t xml:space="preserve">. </w:t>
      </w:r>
    </w:p>
    <w:p w:rsidR="006C3314" w:rsidRDefault="00C27EA2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Segala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timbut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6C3314" w:rsidRPr="006C3314">
        <w:t>SP Marketing</w:t>
      </w:r>
      <w:r>
        <w:t>.</w:t>
      </w:r>
    </w:p>
    <w:p w:rsidR="003C467D" w:rsidRDefault="003C467D" w:rsidP="003C467D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Segala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r w:rsidRPr="006C3314">
        <w:t>SP Marketing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muktamad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sebaran</w:t>
      </w:r>
      <w:r w:rsidR="003068AA">
        <w:t>g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surat-menyurat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dilayan</w:t>
      </w:r>
      <w:proofErr w:type="spellEnd"/>
      <w:r>
        <w:t>.</w:t>
      </w:r>
    </w:p>
    <w:p w:rsidR="003C467D" w:rsidRDefault="003C467D" w:rsidP="008B01D0">
      <w:pPr>
        <w:pStyle w:val="ListParagraph"/>
        <w:numPr>
          <w:ilvl w:val="0"/>
          <w:numId w:val="2"/>
        </w:numPr>
        <w:spacing w:after="0" w:line="360" w:lineRule="auto"/>
        <w:ind w:left="142" w:hanging="284"/>
        <w:jc w:val="both"/>
      </w:pPr>
      <w:proofErr w:type="spellStart"/>
      <w:r>
        <w:t>Kenderaan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di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Sinergi</w:t>
      </w:r>
      <w:proofErr w:type="spellEnd"/>
      <w:r>
        <w:t xml:space="preserve"> Perdana Marketing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di </w:t>
      </w:r>
      <w:proofErr w:type="spellStart"/>
      <w:r>
        <w:t>alamat</w:t>
      </w:r>
      <w:proofErr w:type="spellEnd"/>
      <w:r>
        <w:t xml:space="preserve"> A-6-1, Aras 6, Blok A, Mines Waterfront Business Park, </w:t>
      </w:r>
      <w:proofErr w:type="spellStart"/>
      <w:r>
        <w:t>No.3</w:t>
      </w:r>
      <w:proofErr w:type="spellEnd"/>
      <w:r>
        <w:t xml:space="preserve">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Tasik</w:t>
      </w:r>
      <w:proofErr w:type="spellEnd"/>
      <w:r>
        <w:t xml:space="preserve">, The Mines Resort City, 43300, Seri Kembangan, Selangor. </w:t>
      </w:r>
    </w:p>
    <w:sectPr w:rsidR="003C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7A0"/>
    <w:multiLevelType w:val="hybridMultilevel"/>
    <w:tmpl w:val="F09E6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3CB6"/>
    <w:multiLevelType w:val="hybridMultilevel"/>
    <w:tmpl w:val="CEAC1342"/>
    <w:lvl w:ilvl="0" w:tplc="41526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zMbU0AUJjI1MLCyUdpeDU4uLM/DyQAuNaABGWzEQsAAAA"/>
  </w:docVars>
  <w:rsids>
    <w:rsidRoot w:val="0089526D"/>
    <w:rsid w:val="003068AA"/>
    <w:rsid w:val="00310D91"/>
    <w:rsid w:val="003C467D"/>
    <w:rsid w:val="0045225D"/>
    <w:rsid w:val="004C5EC3"/>
    <w:rsid w:val="005F37ED"/>
    <w:rsid w:val="006C3314"/>
    <w:rsid w:val="00780787"/>
    <w:rsid w:val="0089526D"/>
    <w:rsid w:val="008B01D0"/>
    <w:rsid w:val="00C27EA2"/>
    <w:rsid w:val="00D81266"/>
    <w:rsid w:val="00F344AE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97E4"/>
  <w15:chartTrackingRefBased/>
  <w15:docId w15:val="{D8B43786-9523-428C-9AB1-4C28845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Atiqah Fuzi</dc:creator>
  <cp:keywords/>
  <dc:description/>
  <cp:lastModifiedBy>Atiqah Fuzi</cp:lastModifiedBy>
  <cp:revision>5</cp:revision>
  <cp:lastPrinted>2018-01-17T09:53:00Z</cp:lastPrinted>
  <dcterms:created xsi:type="dcterms:W3CDTF">2018-01-17T06:59:00Z</dcterms:created>
  <dcterms:modified xsi:type="dcterms:W3CDTF">2018-02-26T07:26:00Z</dcterms:modified>
</cp:coreProperties>
</file>